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18" w:rsidRDefault="000E4118" w:rsidP="000E4118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4410075" cy="12192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18" w:rsidRDefault="000E4118" w:rsidP="000E4118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NUOVE DALL’EDICOLA</w:t>
      </w:r>
    </w:p>
    <w:p w:rsidR="000E4118" w:rsidRPr="00761999" w:rsidRDefault="000E4118" w:rsidP="000E4118">
      <w:pPr>
        <w:pStyle w:val="Default"/>
        <w:jc w:val="center"/>
        <w:rPr>
          <w:rFonts w:ascii="Bodoni MT" w:hAnsi="Bodoni MT" w:cs="Bodoni MT"/>
          <w:color w:val="0070C0"/>
          <w:sz w:val="28"/>
          <w:szCs w:val="28"/>
        </w:rPr>
      </w:pPr>
      <w:r w:rsidRPr="00761999">
        <w:rPr>
          <w:rFonts w:ascii="Bodoni MT" w:hAnsi="Bodoni MT" w:cs="Bodoni MT"/>
          <w:i/>
          <w:iCs/>
          <w:color w:val="0070C0"/>
          <w:sz w:val="28"/>
          <w:szCs w:val="28"/>
        </w:rPr>
        <w:t>Il periodico italiano dedicato al lavoro dell’edicolante</w:t>
      </w:r>
    </w:p>
    <w:p w:rsidR="000E4118" w:rsidRDefault="000E4118" w:rsidP="000E411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0E4118" w:rsidRDefault="000E4118" w:rsidP="000E41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Editore Centro Studi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srl -Via Gregorio VII, 350 - 00165 ROMA - tel. 06 6623198 - fax 06 6628560</w:t>
      </w:r>
    </w:p>
    <w:p w:rsidR="000E4118" w:rsidRDefault="000E4118" w:rsidP="000E41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5" w:history="1">
        <w:r w:rsidRPr="00776BC4">
          <w:rPr>
            <w:rStyle w:val="Collegamentoipertestuale"/>
            <w:rFonts w:ascii="Times New Roman" w:hAnsi="Times New Roman" w:cs="Times New Roman"/>
            <w:sz w:val="20"/>
            <w:szCs w:val="20"/>
          </w:rPr>
          <w:t>redazione@sinaginazionale.it</w:t>
        </w:r>
      </w:hyperlink>
    </w:p>
    <w:p w:rsidR="000E4118" w:rsidRDefault="000E4118" w:rsidP="000E41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E4118" w:rsidRDefault="00977920" w:rsidP="000E4118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n. 152 - Circolare n. 50</w:t>
      </w:r>
      <w:r w:rsidR="000E411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Roma, </w:t>
      </w:r>
      <w:r>
        <w:rPr>
          <w:rFonts w:ascii="Times New Roman" w:hAnsi="Times New Roman" w:cs="Times New Roman"/>
          <w:sz w:val="23"/>
          <w:szCs w:val="23"/>
        </w:rPr>
        <w:t>21 aprile</w:t>
      </w:r>
      <w:r w:rsidR="000E4118">
        <w:rPr>
          <w:rFonts w:ascii="Times New Roman" w:hAnsi="Times New Roman" w:cs="Times New Roman"/>
          <w:sz w:val="23"/>
          <w:szCs w:val="23"/>
        </w:rPr>
        <w:t xml:space="preserve"> 2017</w:t>
      </w:r>
    </w:p>
    <w:p w:rsidR="000E4118" w:rsidRDefault="000E4118" w:rsidP="000E4118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5EB1" w:rsidRDefault="00525EB1" w:rsidP="000E4118">
      <w:pPr>
        <w:pStyle w:val="Default"/>
        <w:ind w:left="3540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4118" w:rsidRDefault="000E4118" w:rsidP="000E4118">
      <w:pPr>
        <w:pStyle w:val="Default"/>
        <w:ind w:left="3540"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TUTTE LE STRUTTURE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Loro Sedi </w:t>
      </w:r>
    </w:p>
    <w:p w:rsidR="000E4118" w:rsidRDefault="000E4118" w:rsidP="000E411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25EB1" w:rsidRDefault="00525EB1" w:rsidP="000E41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E4118" w:rsidRPr="003F2E07" w:rsidRDefault="000E4118" w:rsidP="000E41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 xml:space="preserve">Cari Colleghi, </w:t>
      </w:r>
    </w:p>
    <w:p w:rsidR="000E4118" w:rsidRPr="003F2E07" w:rsidRDefault="000E4118" w:rsidP="000E41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E4118" w:rsidRPr="003F2E07" w:rsidRDefault="000E4118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2E07">
        <w:rPr>
          <w:rFonts w:ascii="Times New Roman" w:hAnsi="Times New Roman" w:cs="Times New Roman"/>
          <w:bCs/>
          <w:iCs/>
          <w:sz w:val="28"/>
          <w:szCs w:val="28"/>
        </w:rPr>
        <w:t xml:space="preserve">è in distribuzione a tutte le edicole </w:t>
      </w:r>
      <w:r w:rsidRPr="003F2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NUOVE DALL’EDICOLA n. 7</w:t>
      </w:r>
      <w:r w:rsidR="009779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977920">
        <w:rPr>
          <w:rFonts w:ascii="Times New Roman" w:hAnsi="Times New Roman" w:cs="Times New Roman"/>
          <w:b/>
          <w:bCs/>
          <w:iCs/>
          <w:sz w:val="28"/>
          <w:szCs w:val="28"/>
        </w:rPr>
        <w:t>marzo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977920">
        <w:rPr>
          <w:rFonts w:ascii="Times New Roman" w:hAnsi="Times New Roman" w:cs="Times New Roman"/>
          <w:b/>
          <w:bCs/>
          <w:iCs/>
          <w:sz w:val="28"/>
          <w:szCs w:val="28"/>
        </w:rPr>
        <w:t>aprile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2017).</w:t>
      </w:r>
    </w:p>
    <w:p w:rsidR="000E4118" w:rsidRPr="003F2E07" w:rsidRDefault="000E4118" w:rsidP="000E4118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4118" w:rsidRDefault="00977920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Un numero importante, per 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l’editoriale del Segretario Generale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per le notizie sui servizi in edicola e, in particolare, per le tante notizie dai territori. Un segno di partecipazione molto importante che rafforza la comunicazione tra le strutture e i rivenditori.</w:t>
      </w:r>
    </w:p>
    <w:p w:rsidR="00977920" w:rsidRDefault="00977920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7920" w:rsidRDefault="00977920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Vi raccomandiamo la lettura dei servizi su QR POSTE ed Edicola Manager.</w:t>
      </w:r>
    </w:p>
    <w:p w:rsidR="00525EB1" w:rsidRDefault="00525EB1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5EB1" w:rsidRPr="003F2E07" w:rsidRDefault="00525EB1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Vi alleghiamo come sempre la locandina con il sommario.</w:t>
      </w:r>
    </w:p>
    <w:p w:rsidR="000E4118" w:rsidRPr="003F2E07" w:rsidRDefault="000E4118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4118" w:rsidRPr="003F2E07" w:rsidRDefault="00977920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Controllate </w:t>
      </w:r>
      <w:r w:rsidR="000E4118"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la corretta consegna ad ogni edicola.</w:t>
      </w:r>
    </w:p>
    <w:p w:rsidR="000E4118" w:rsidRPr="003F2E07" w:rsidRDefault="00977920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 w:rsidR="000E4118"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cquisti una copia</w:t>
      </w:r>
      <w:r w:rsidRPr="009779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o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gni iscritto</w:t>
      </w:r>
      <w:r w:rsidR="000E4118"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</w:p>
    <w:p w:rsidR="000E4118" w:rsidRDefault="000E4118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4118" w:rsidRPr="003F2E07" w:rsidRDefault="000E4118" w:rsidP="000E4118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Cari saluti e un caloroso ringraziamento a Voi che ci sostenete!</w:t>
      </w:r>
    </w:p>
    <w:p w:rsidR="000E4118" w:rsidRPr="00A03122" w:rsidRDefault="000E4118" w:rsidP="000E4118">
      <w:pPr>
        <w:pStyle w:val="Default"/>
        <w:jc w:val="center"/>
      </w:pPr>
    </w:p>
    <w:p w:rsidR="000E4118" w:rsidRDefault="000E4118" w:rsidP="000E4118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80DBF">
        <w:rPr>
          <w:rFonts w:ascii="Times New Roman" w:hAnsi="Times New Roman" w:cs="Times New Roman"/>
          <w:i/>
          <w:iCs/>
        </w:rPr>
        <w:t xml:space="preserve">La Redazione di Nuove dall’Edicola </w:t>
      </w:r>
    </w:p>
    <w:p w:rsidR="000E4118" w:rsidRDefault="000E4118" w:rsidP="000E4118">
      <w:pPr>
        <w:pStyle w:val="Default"/>
        <w:rPr>
          <w:rFonts w:ascii="Times New Roman" w:hAnsi="Times New Roman" w:cs="Times New Roman"/>
          <w:i/>
          <w:iCs/>
        </w:rPr>
      </w:pPr>
    </w:p>
    <w:p w:rsidR="000E4118" w:rsidRDefault="000E4118" w:rsidP="000E4118">
      <w:pPr>
        <w:pStyle w:val="Default"/>
        <w:rPr>
          <w:rFonts w:ascii="Times New Roman" w:hAnsi="Times New Roman" w:cs="Times New Roman"/>
          <w:i/>
          <w:iCs/>
        </w:rPr>
      </w:pPr>
    </w:p>
    <w:tbl>
      <w:tblPr>
        <w:tblW w:w="100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5154"/>
      </w:tblGrid>
      <w:tr w:rsidR="000E4118" w:rsidTr="00735558">
        <w:trPr>
          <w:trHeight w:val="4931"/>
        </w:trPr>
        <w:tc>
          <w:tcPr>
            <w:tcW w:w="4928" w:type="dxa"/>
          </w:tcPr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  <w:lastRenderedPageBreak/>
              <w:t>EDITORIALE</w:t>
            </w: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Calma Piatta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(G.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Marchica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6895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6895"/>
                <w:sz w:val="24"/>
                <w:szCs w:val="24"/>
              </w:rPr>
              <w:t>SERVIZI IN EDICOLA</w:t>
            </w: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FAQ QR POSTE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(A. Digiuni) </w:t>
            </w: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</w:pPr>
            <w:proofErr w:type="spellStart"/>
            <w:r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  <w:t>QUI…</w:t>
            </w:r>
            <w:proofErr w:type="spellEnd"/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MANTOVA: Quale futuro per le edicole?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(A.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Boni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BRESCIA: Riflessioni ad alta voce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(D. Spini)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BRESCIA: Fare sindacato in modo coinvolgente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Sinagi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 Brescia)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LA SPEZIA: Cosa succede, cosa facciamo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(G.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Luvisotti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MODENA: A Modena una rete di garanzia e solidarietà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(G. Barbieri)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NAPOLI: Anche le formiche nel loro piccolo s’incazzano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(A. Esposito)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NAPOLI: Le edicole in stazione diventano edicole-bazar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(A. Esposito</w:t>
            </w: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VITERBO: Per chi suona </w:t>
            </w:r>
            <w:proofErr w:type="spellStart"/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la…</w:t>
            </w:r>
            <w:proofErr w:type="spellEnd"/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campana?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(N.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Becattini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MESSINA: Vertenza Messina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(G. Catalano) </w:t>
            </w:r>
          </w:p>
          <w:p w:rsidR="00525EB1" w:rsidRDefault="00525EB1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ROMA: Le nostre edicole differenti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(L.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Lentricchia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B10342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B10342"/>
                <w:sz w:val="24"/>
                <w:szCs w:val="24"/>
              </w:rPr>
              <w:t>RADIO RETE EDICOLE</w:t>
            </w: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Tornare a vendere libri in edicola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(F.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Sebasttiani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77920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  <w:t>INFORMATIZZAZIONE</w:t>
            </w:r>
          </w:p>
          <w:p w:rsidR="000E4118" w:rsidRDefault="00977920" w:rsidP="009779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Aggiornamento Edicola Manager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(R. Casini) </w:t>
            </w:r>
          </w:p>
        </w:tc>
        <w:tc>
          <w:tcPr>
            <w:tcW w:w="5154" w:type="dxa"/>
          </w:tcPr>
          <w:p w:rsidR="000E4118" w:rsidRDefault="00977920" w:rsidP="00735558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3184525" cy="4563237"/>
                  <wp:effectExtent l="19050" t="0" r="0" b="0"/>
                  <wp:docPr id="1" name="Immagine 1" descr="D:\GIORNALE 73 2017\COPERTINA\cop_7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IORNALE 73 2017\COPERTINA\cop_7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525" cy="4563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118" w:rsidRDefault="000E4118" w:rsidP="00735558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E4118" w:rsidRPr="00A03122" w:rsidRDefault="000E4118" w:rsidP="00735558">
            <w:pPr>
              <w:pStyle w:val="Default"/>
            </w:pPr>
            <w:r w:rsidRPr="00A03122">
              <w:rPr>
                <w:b/>
                <w:bCs/>
                <w:i/>
                <w:iCs/>
              </w:rPr>
              <w:t xml:space="preserve">Leggilo e conservalo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t xml:space="preserve">Ogni due mesi il distributore locale deve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t xml:space="preserve">consegnarti una copia in conto deposito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t xml:space="preserve">(che verrà addebitata al richiamo della resa)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rPr>
                <w:b/>
                <w:bCs/>
              </w:rPr>
              <w:t xml:space="preserve">■ Se non ti viene consegnata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rPr>
                <w:b/>
                <w:bCs/>
              </w:rPr>
              <w:t xml:space="preserve">■ Se ti vengono consegnate più di una copia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rPr>
                <w:b/>
                <w:bCs/>
              </w:rPr>
              <w:t xml:space="preserve">■ Se ti viene consegnata non in conto deposito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rPr>
                <w:b/>
                <w:bCs/>
              </w:rPr>
              <w:t xml:space="preserve">Faccelo sapere!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rPr>
                <w:b/>
                <w:bCs/>
              </w:rPr>
              <w:t xml:space="preserve">Contatta la sede SINAGI a te più vicina </w:t>
            </w:r>
          </w:p>
          <w:p w:rsidR="000E4118" w:rsidRPr="00A03122" w:rsidRDefault="000E4118" w:rsidP="00735558">
            <w:pPr>
              <w:pStyle w:val="Default"/>
            </w:pPr>
            <w:r w:rsidRPr="00A03122">
              <w:rPr>
                <w:b/>
                <w:bCs/>
              </w:rPr>
              <w:t xml:space="preserve">sul nostro sito: www.sinaginazionale.it </w:t>
            </w:r>
          </w:p>
          <w:p w:rsidR="000E4118" w:rsidRDefault="000E4118" w:rsidP="00735558">
            <w:pPr>
              <w:pStyle w:val="Default"/>
              <w:rPr>
                <w:sz w:val="18"/>
                <w:szCs w:val="18"/>
              </w:rPr>
            </w:pPr>
            <w:r w:rsidRPr="00A03122">
              <w:rPr>
                <w:b/>
                <w:bCs/>
              </w:rPr>
              <w:t>Scrivi a: redazione@sinaginazionale.it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0E4118" w:rsidRDefault="000E4118" w:rsidP="000E4118"/>
    <w:p w:rsidR="000E4118" w:rsidRDefault="000E4118" w:rsidP="000E4118"/>
    <w:p w:rsidR="00A631DB" w:rsidRDefault="00A631DB"/>
    <w:sectPr w:rsidR="00A631DB" w:rsidSect="000A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9715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9715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971512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9715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9715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97151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4118"/>
    <w:rsid w:val="000E4118"/>
    <w:rsid w:val="00525EB1"/>
    <w:rsid w:val="00977920"/>
    <w:rsid w:val="00A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4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411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4118"/>
  </w:style>
  <w:style w:type="paragraph" w:styleId="Pidipagina">
    <w:name w:val="footer"/>
    <w:basedOn w:val="Normale"/>
    <w:link w:val="PidipaginaCarattere"/>
    <w:uiPriority w:val="99"/>
    <w:semiHidden/>
    <w:unhideWhenUsed/>
    <w:rsid w:val="000E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4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hyperlink" Target="mailto:redazione@sinaginazionale.it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emf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Pari</dc:creator>
  <cp:lastModifiedBy>Fabio Pari</cp:lastModifiedBy>
  <cp:revision>2</cp:revision>
  <dcterms:created xsi:type="dcterms:W3CDTF">2017-04-21T11:40:00Z</dcterms:created>
  <dcterms:modified xsi:type="dcterms:W3CDTF">2017-04-21T11:40:00Z</dcterms:modified>
</cp:coreProperties>
</file>